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836C3F" w:rsidRPr="00836C3F">
        <w:rPr>
          <w:rFonts w:ascii="宋体" w:eastAsiaTheme="minorEastAsia" w:hAnsi="宋体" w:hint="eastAsia"/>
          <w:b/>
          <w:sz w:val="32"/>
          <w:szCs w:val="32"/>
          <w:lang w:eastAsia="zh-CN"/>
        </w:rPr>
        <w:t>劳动争议处理实务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1324"/>
        <w:gridCol w:w="359"/>
        <w:gridCol w:w="615"/>
        <w:gridCol w:w="1499"/>
        <w:gridCol w:w="1620"/>
        <w:gridCol w:w="1053"/>
        <w:gridCol w:w="535"/>
        <w:gridCol w:w="580"/>
        <w:gridCol w:w="1075"/>
      </w:tblGrid>
      <w:tr w:rsidR="008D6AA0" w:rsidRPr="002E27E1" w:rsidTr="00505E71">
        <w:trPr>
          <w:trHeight w:val="340"/>
          <w:jc w:val="center"/>
        </w:trPr>
        <w:tc>
          <w:tcPr>
            <w:tcW w:w="4538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Pr="0068301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劳动争议处理实务</w:t>
            </w:r>
          </w:p>
        </w:tc>
        <w:tc>
          <w:tcPr>
            <w:tcW w:w="4863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选修课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Pr="00683019">
              <w:rPr>
                <w:rFonts w:ascii="宋体" w:eastAsia="宋体" w:hAnsi="宋体"/>
                <w:sz w:val="21"/>
                <w:szCs w:val="21"/>
              </w:rPr>
              <w:t>Practice</w:t>
            </w:r>
            <w:proofErr w:type="spellEnd"/>
            <w:r w:rsidRPr="00683019">
              <w:rPr>
                <w:rFonts w:ascii="宋体" w:eastAsia="宋体" w:hAnsi="宋体"/>
                <w:sz w:val="21"/>
                <w:szCs w:val="21"/>
              </w:rPr>
              <w:t xml:space="preserve"> of labor dispute settlement</w:t>
            </w: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4538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总学时/周学时/学分：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863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 w:rsidRPr="005A7F4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企业管理概论、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人力资源管理等</w:t>
            </w: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4538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周一 56节、周一78节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</w:t>
            </w:r>
          </w:p>
        </w:tc>
        <w:tc>
          <w:tcPr>
            <w:tcW w:w="4863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proofErr w:type="gramStart"/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莞</w:t>
            </w:r>
            <w:proofErr w:type="gramEnd"/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城校区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图书馆407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授课对象： 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人力资源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管理专业1234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班/201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6工商管理专业1234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开课院系：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经济与管理学院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方妙英副教授</w:t>
            </w: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4538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联系电话：</w:t>
            </w:r>
            <w:r w:rsidRPr="00F62BA9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13751336783</w:t>
            </w:r>
          </w:p>
        </w:tc>
        <w:tc>
          <w:tcPr>
            <w:tcW w:w="4863" w:type="dxa"/>
            <w:gridSpan w:val="5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Pr="00F62BA9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51790590</w:t>
            </w:r>
            <w:r w:rsidRPr="00F62BA9">
              <w:rPr>
                <w:rFonts w:ascii="宋体" w:eastAsia="宋体" w:hAnsi="宋体"/>
                <w:sz w:val="21"/>
                <w:szCs w:val="21"/>
                <w:lang w:eastAsia="zh-CN"/>
              </w:rPr>
              <w:t>@qq.com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分为集体答疑与个别答疑的形式，集体答疑的时间为课前、课后，地点</w:t>
            </w:r>
            <w:proofErr w:type="gramStart"/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莞</w:t>
            </w:r>
            <w:proofErr w:type="gramEnd"/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城校区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5308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，个别答疑主要通过电子邮件、QQ、</w:t>
            </w:r>
            <w:proofErr w:type="gramStart"/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微信</w:t>
            </w:r>
            <w:proofErr w:type="gramEnd"/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及电话联系等方式。</w:t>
            </w:r>
          </w:p>
        </w:tc>
      </w:tr>
      <w:tr w:rsidR="008D6AA0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Pr="00F62BA9">
              <w:rPr>
                <w:rFonts w:ascii="宋体" w:eastAsia="宋体" w:hAnsi="宋体" w:hint="eastAsia"/>
                <w:b/>
                <w:szCs w:val="21"/>
                <w:lang w:eastAsia="zh-CN"/>
              </w:rPr>
              <w:t>√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   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）</w:t>
            </w:r>
          </w:p>
        </w:tc>
      </w:tr>
      <w:tr w:rsidR="008D6AA0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F3054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F041E4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62794A" w:rsidRPr="0062794A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自编讲义</w:t>
            </w:r>
          </w:p>
          <w:p w:rsidR="008D6AA0" w:rsidRPr="00FF3054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FF3054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教学参考资料：</w:t>
            </w:r>
          </w:p>
          <w:p w:rsidR="008D6AA0" w:rsidRPr="00F62BA9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150" w:firstLine="316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t>参考书目：</w:t>
            </w:r>
          </w:p>
          <w:p w:rsidR="008D6AA0" w:rsidRPr="00AF5380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1</w:t>
            </w:r>
            <w:r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、《最新劳动争议处理实务与诉讼指引》，北京市劳动和社会保障法学会编，法律出版社，</w:t>
            </w: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2011</w:t>
            </w:r>
          </w:p>
          <w:p w:rsidR="008D6AA0" w:rsidRPr="00AF5380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  <w:r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、《劳动人事争议文书格式样本及操作实务：协商、调解、仲裁、诉讼和执行》，王良友著，中国法制出版社，</w:t>
            </w: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2017</w:t>
            </w:r>
          </w:p>
          <w:p w:rsidR="008D6AA0" w:rsidRPr="00AF5380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3</w:t>
            </w:r>
            <w:r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、《典型劳动争议案例处理实务》，王伟杰著，经济管理出版社，</w:t>
            </w: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2012</w:t>
            </w:r>
          </w:p>
          <w:p w:rsidR="008D6AA0" w:rsidRPr="00AF5380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4</w:t>
            </w:r>
            <w:r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、《新型疑难劳动争议处理实务与诉讼指引》，北京市劳动和社会保障法学会编，法律出版社，</w:t>
            </w: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2010</w:t>
            </w:r>
          </w:p>
          <w:p w:rsidR="008D6AA0" w:rsidRDefault="008D6AA0" w:rsidP="008D6AA0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5</w:t>
            </w:r>
            <w:r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、《劳动争议处理的法律理论与律师实务》，王建平、苏文蔚编，法律出版社， </w:t>
            </w:r>
            <w:r w:rsidRPr="00AF5380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2013</w:t>
            </w:r>
          </w:p>
          <w:p w:rsidR="008D6AA0" w:rsidRPr="00F62BA9" w:rsidRDefault="008D6AA0" w:rsidP="008D6AA0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6、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《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HR专项法律顾问实务操作与案例精解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》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proofErr w:type="gramStart"/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夏桂颖</w:t>
            </w:r>
            <w:proofErr w:type="gramEnd"/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等主编，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北京：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中国法制</w:t>
            </w:r>
            <w:r w:rsidRPr="000E1E06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出版社，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2014。</w:t>
            </w:r>
          </w:p>
          <w:p w:rsidR="008D6AA0" w:rsidRPr="00F041E4" w:rsidRDefault="008D6AA0" w:rsidP="008D6AA0">
            <w:pPr>
              <w:widowControl w:val="0"/>
              <w:adjustRightInd w:val="0"/>
              <w:snapToGrid w:val="0"/>
              <w:spacing w:after="0" w:line="360" w:lineRule="exact"/>
              <w:ind w:firstLineChars="150" w:firstLine="315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7、</w:t>
            </w:r>
            <w:r w:rsidR="0062794A" w:rsidRPr="00FF305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王远东</w:t>
            </w:r>
            <w:r w:rsidR="0062794A" w:rsidRPr="00AF5380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、赵学昌主编</w:t>
            </w:r>
            <w:r w:rsidR="0062794A" w:rsidRPr="00F041E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.《</w:t>
            </w:r>
            <w:r w:rsidR="0062794A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劳动争议处理实务</w:t>
            </w:r>
            <w:r w:rsidR="0062794A" w:rsidRPr="00F041E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》.北京：</w:t>
            </w:r>
            <w:r w:rsidR="0062794A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北京</w:t>
            </w:r>
            <w:r w:rsidR="0062794A" w:rsidRPr="00F041E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大学出版社，20</w:t>
            </w:r>
            <w:r w:rsidR="0062794A"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  <w:t>09</w:t>
            </w:r>
            <w:r w:rsidR="0062794A" w:rsidRPr="00F041E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。</w:t>
            </w:r>
          </w:p>
          <w:p w:rsidR="008D6AA0" w:rsidRPr="00F62BA9" w:rsidRDefault="008D6AA0" w:rsidP="00205C8C">
            <w:pPr>
              <w:widowControl w:val="0"/>
              <w:adjustRightInd w:val="0"/>
              <w:snapToGrid w:val="0"/>
              <w:spacing w:after="0" w:line="360" w:lineRule="exact"/>
              <w:ind w:firstLineChars="550" w:firstLine="116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8D6AA0" w:rsidRPr="006E5744" w:rsidRDefault="008D6AA0" w:rsidP="00205C8C">
            <w:pPr>
              <w:snapToGrid w:val="0"/>
              <w:spacing w:line="360" w:lineRule="exact"/>
              <w:ind w:firstLine="420"/>
              <w:jc w:val="lef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《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劳动争议处理实务》是人力资源管理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专业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和工商管理专业</w:t>
            </w: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的一门专业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选修课，紧紧围绕两个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专业的人才培养目标，从人力资源管理工作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和工商管理工作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的实际需要出发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以学生为主体，工作任务为核心，根据劳动争议的不同类型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，设计了不同的专题任务和案例实践，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用工作任务引领专业知识。每个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专题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都以具体的工作任务为核心，按照工作任务的需要选择专业理论知识和实践知识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；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用典型案例构筑学习情境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，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每个项目均以情境案例为依托安排具体的工作任务，在典型情境中以完成工作任务为目标边教、边做、边学。</w:t>
            </w:r>
          </w:p>
          <w:p w:rsidR="008D6AA0" w:rsidRPr="00F62BA9" w:rsidRDefault="008D6AA0" w:rsidP="00205C8C">
            <w:pPr>
              <w:snapToGrid w:val="0"/>
              <w:spacing w:line="360" w:lineRule="exact"/>
              <w:ind w:firstLine="42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突出学生法律逻辑思维与推理能力、对法律规范的理解与解释能力、掌握证据和事实的能力、法律文书写作能力、法庭辩论能力、诉讼程序能力等实践能力培养，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以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达到</w:t>
            </w:r>
            <w:proofErr w:type="gramStart"/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课结事</w:t>
            </w:r>
            <w:proofErr w:type="gramEnd"/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会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为</w:t>
            </w:r>
            <w:r w:rsidRPr="006E5744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教学目标。</w:t>
            </w:r>
          </w:p>
        </w:tc>
      </w:tr>
      <w:tr w:rsidR="008D6AA0" w:rsidRPr="00917C66" w:rsidTr="00505E71">
        <w:trPr>
          <w:trHeight w:val="2920"/>
          <w:jc w:val="center"/>
        </w:trPr>
        <w:tc>
          <w:tcPr>
            <w:tcW w:w="6158" w:type="dxa"/>
            <w:gridSpan w:val="6"/>
          </w:tcPr>
          <w:p w:rsidR="008D6AA0" w:rsidRPr="003B546C" w:rsidRDefault="008D6AA0" w:rsidP="008D6AA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kern w:val="2"/>
                <w:sz w:val="21"/>
                <w:szCs w:val="21"/>
                <w:lang w:eastAsia="zh-CN"/>
              </w:rPr>
            </w:pPr>
            <w:r w:rsidRPr="003B546C">
              <w:rPr>
                <w:rFonts w:ascii="宋体" w:eastAsia="宋体" w:hAnsi="宋体" w:hint="eastAsia"/>
                <w:b/>
                <w:kern w:val="2"/>
                <w:sz w:val="21"/>
                <w:szCs w:val="21"/>
                <w:lang w:eastAsia="zh-CN"/>
              </w:rPr>
              <w:lastRenderedPageBreak/>
              <w:t>课程教学目标：</w:t>
            </w:r>
          </w:p>
          <w:p w:rsidR="008D6AA0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1.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理解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劳动法、劳动合同法、调解仲裁法等相关劳动法律法规的主要内容，对相关法律法规能运用到案例分析中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；</w:t>
            </w:r>
          </w:p>
          <w:p w:rsidR="008D6AA0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2.学会编写调解、仲裁、诉讼等劳动争议法律文书，掌握争议庭审的相关技巧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；</w:t>
            </w:r>
          </w:p>
          <w:p w:rsidR="008D6AA0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3.熟悉不同类型劳动争议的特点及相对应的应对方法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；</w:t>
            </w:r>
          </w:p>
          <w:p w:rsidR="008D6AA0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4.运用角色扮演和情景模拟，开展争议处理演练，学会从用人单位、劳动者和仲裁庭或法庭的角度处理劳动争议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；</w:t>
            </w:r>
          </w:p>
          <w:p w:rsidR="008D6AA0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5.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识别组织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劳动关系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管理中的常见误区，能够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规避劳动关系管理中常见的风险，通过劳动争议案例处理，掌握常见的劳动关系管理风险点及解决方式，给出改进方案</w:t>
            </w:r>
            <w:r w:rsidRPr="00366711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。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3243" w:type="dxa"/>
            <w:gridSpan w:val="4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□核心能力</w:t>
            </w:r>
            <w:r w:rsidRPr="00F62BA9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8D6AA0" w:rsidRPr="00F62BA9" w:rsidRDefault="008D6AA0" w:rsidP="00205C8C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741" w:type="dxa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683" w:type="dxa"/>
            <w:gridSpan w:val="2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15" w:type="dxa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172" w:type="dxa"/>
            <w:gridSpan w:val="3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15" w:type="dxa"/>
            <w:gridSpan w:val="2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75" w:type="dxa"/>
            <w:tcMar>
              <w:left w:w="28" w:type="dxa"/>
              <w:right w:w="28" w:type="dxa"/>
            </w:tcMar>
            <w:vAlign w:val="center"/>
          </w:tcPr>
          <w:p w:rsidR="008D6AA0" w:rsidRPr="00F62BA9" w:rsidRDefault="008D6AA0" w:rsidP="00205C8C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F62BA9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683" w:type="dxa"/>
            <w:gridSpan w:val="2"/>
            <w:vAlign w:val="center"/>
          </w:tcPr>
          <w:p w:rsidR="008D6AA0" w:rsidRPr="00E30C1B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课程介绍</w:t>
            </w:r>
          </w:p>
        </w:tc>
        <w:tc>
          <w:tcPr>
            <w:tcW w:w="615" w:type="dxa"/>
            <w:vAlign w:val="center"/>
          </w:tcPr>
          <w:p w:rsidR="008D6AA0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vAlign w:val="center"/>
          </w:tcPr>
          <w:p w:rsidR="008D6AA0" w:rsidRDefault="008D6AA0" w:rsidP="00205C8C">
            <w:pPr>
              <w:snapToGrid w:val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劳动争议处理实务课程内容介绍</w:t>
            </w:r>
          </w:p>
          <w:p w:rsidR="008D6AA0" w:rsidRPr="00F62BA9" w:rsidRDefault="008D6AA0" w:rsidP="00205C8C">
            <w:pPr>
              <w:snapToGrid w:val="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的内容</w:t>
            </w:r>
          </w:p>
        </w:tc>
        <w:tc>
          <w:tcPr>
            <w:tcW w:w="1115" w:type="dxa"/>
            <w:gridSpan w:val="2"/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vAlign w:val="center"/>
          </w:tcPr>
          <w:p w:rsidR="008D6AA0" w:rsidRPr="00F65F24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205C8C" w:rsidRPr="002E27E1" w:rsidTr="00205C8C">
        <w:trPr>
          <w:trHeight w:val="340"/>
          <w:jc w:val="center"/>
        </w:trPr>
        <w:tc>
          <w:tcPr>
            <w:tcW w:w="741" w:type="dxa"/>
            <w:vAlign w:val="center"/>
          </w:tcPr>
          <w:p w:rsidR="00205C8C" w:rsidRDefault="00205C8C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83" w:type="dxa"/>
            <w:gridSpan w:val="2"/>
            <w:vAlign w:val="center"/>
          </w:tcPr>
          <w:p w:rsidR="00205C8C" w:rsidRPr="00E30C1B" w:rsidRDefault="00205C8C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劳动争议处理实务概述</w:t>
            </w:r>
          </w:p>
        </w:tc>
        <w:tc>
          <w:tcPr>
            <w:tcW w:w="615" w:type="dxa"/>
            <w:vAlign w:val="center"/>
          </w:tcPr>
          <w:p w:rsidR="00205C8C" w:rsidRDefault="00205C8C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vAlign w:val="center"/>
          </w:tcPr>
          <w:p w:rsidR="00205C8C" w:rsidRDefault="00205C8C" w:rsidP="00205C8C">
            <w:pPr>
              <w:snapToGrid w:val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205C8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劳动关系以及劳动争议的概念，劳动争议处理的适用范围</w:t>
            </w:r>
          </w:p>
          <w:p w:rsidR="00205C8C" w:rsidRPr="00F62BA9" w:rsidRDefault="00205C8C" w:rsidP="00205C8C">
            <w:pPr>
              <w:snapToGrid w:val="0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的内容</w:t>
            </w:r>
          </w:p>
        </w:tc>
        <w:tc>
          <w:tcPr>
            <w:tcW w:w="1115" w:type="dxa"/>
            <w:gridSpan w:val="2"/>
            <w:vAlign w:val="center"/>
          </w:tcPr>
          <w:p w:rsidR="00205C8C" w:rsidRDefault="00205C8C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075" w:type="dxa"/>
            <w:vAlign w:val="center"/>
          </w:tcPr>
          <w:p w:rsidR="00205C8C" w:rsidRDefault="00205C8C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vAlign w:val="center"/>
          </w:tcPr>
          <w:p w:rsidR="008D6AA0" w:rsidRPr="00F62BA9" w:rsidRDefault="007774A0" w:rsidP="007774A0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 w:rsidR="008D6AA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83" w:type="dxa"/>
            <w:gridSpan w:val="2"/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劳动合同和集体合同争议处理</w:t>
            </w:r>
          </w:p>
        </w:tc>
        <w:tc>
          <w:tcPr>
            <w:tcW w:w="615" w:type="dxa"/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vAlign w:val="center"/>
          </w:tcPr>
          <w:p w:rsidR="008D6AA0" w:rsidRPr="00F62BA9" w:rsidRDefault="008D6AA0" w:rsidP="00205C8C">
            <w:pPr>
              <w:snapToGrid w:val="0"/>
              <w:ind w:firstLineChars="9" w:firstLine="19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6270F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劳动合同争议分类和处理要点</w:t>
            </w:r>
            <w:r w:rsidRPr="00670FC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防范劳动合同管理风险点。</w:t>
            </w:r>
          </w:p>
          <w:p w:rsidR="008D6AA0" w:rsidRPr="00F62BA9" w:rsidRDefault="008D6AA0" w:rsidP="00205C8C">
            <w:pPr>
              <w:snapToGrid w:val="0"/>
              <w:ind w:firstLineChars="9" w:firstLine="19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6270F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劳动合同履行过程中应注意的问题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15" w:type="dxa"/>
            <w:gridSpan w:val="2"/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vAlign w:val="center"/>
          </w:tcPr>
          <w:p w:rsidR="008D6AA0" w:rsidRPr="00F62BA9" w:rsidRDefault="008D6AA0" w:rsidP="002D3F2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8D6AA0" w:rsidRPr="002E27E1" w:rsidTr="002D3F2C">
        <w:trPr>
          <w:trHeight w:val="1754"/>
          <w:jc w:val="center"/>
        </w:trPr>
        <w:tc>
          <w:tcPr>
            <w:tcW w:w="741" w:type="dxa"/>
            <w:vAlign w:val="center"/>
          </w:tcPr>
          <w:p w:rsidR="008D6AA0" w:rsidRPr="00F62BA9" w:rsidRDefault="007774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5-6</w:t>
            </w:r>
          </w:p>
        </w:tc>
        <w:tc>
          <w:tcPr>
            <w:tcW w:w="1683" w:type="dxa"/>
            <w:gridSpan w:val="2"/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工作时间和休息休假争议处理</w:t>
            </w:r>
          </w:p>
        </w:tc>
        <w:tc>
          <w:tcPr>
            <w:tcW w:w="615" w:type="dxa"/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vAlign w:val="center"/>
          </w:tcPr>
          <w:p w:rsidR="008D6AA0" w:rsidRPr="008327B6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8327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工作时间制度和休息休假制度的相关规定。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8327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加班加点的核算和应休未休年休假的工资核算</w:t>
            </w:r>
          </w:p>
        </w:tc>
        <w:tc>
          <w:tcPr>
            <w:tcW w:w="1115" w:type="dxa"/>
            <w:gridSpan w:val="2"/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vAlign w:val="center"/>
          </w:tcPr>
          <w:p w:rsidR="008D6AA0" w:rsidRPr="008327B6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角色扮演，对现行带薪年休假的法律规定加以整理</w:t>
            </w:r>
            <w:r w:rsidRPr="008327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83" w:type="dxa"/>
            <w:gridSpan w:val="2"/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工资争议处理</w:t>
            </w:r>
          </w:p>
        </w:tc>
        <w:tc>
          <w:tcPr>
            <w:tcW w:w="615" w:type="dxa"/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172" w:type="dxa"/>
            <w:gridSpan w:val="3"/>
            <w:vAlign w:val="center"/>
          </w:tcPr>
          <w:p w:rsidR="008D6AA0" w:rsidRPr="004D56EB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4D56E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薪酬绩效管理过程中如何避免争议的产生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4D56E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劳动合同法关于工作报酬的保护性条款</w:t>
            </w:r>
          </w:p>
        </w:tc>
        <w:tc>
          <w:tcPr>
            <w:tcW w:w="1115" w:type="dxa"/>
            <w:gridSpan w:val="2"/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vAlign w:val="center"/>
          </w:tcPr>
          <w:p w:rsidR="008D6AA0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劳动安全卫生争议处理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职业培训争议处理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D6AA0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172" w:type="dxa"/>
            <w:gridSpan w:val="3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2F46F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劳动安全卫生保障是劳动合同的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必要条款、</w:t>
            </w:r>
            <w:r w:rsidRPr="00B70E9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职业培训服务协议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8C483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劳动安全卫生保障的适用性、</w:t>
            </w:r>
            <w:r w:rsidRPr="00B70E9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培训服务协议的拟定和执行</w:t>
            </w:r>
          </w:p>
        </w:tc>
        <w:tc>
          <w:tcPr>
            <w:tcW w:w="1115" w:type="dxa"/>
            <w:gridSpan w:val="2"/>
            <w:tcBorders>
              <w:bottom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女职工和未成年工特殊保护</w:t>
            </w: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争议处理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1</w:t>
            </w:r>
          </w:p>
        </w:tc>
        <w:tc>
          <w:tcPr>
            <w:tcW w:w="4172" w:type="dxa"/>
            <w:gridSpan w:val="3"/>
            <w:tcBorders>
              <w:bottom w:val="single" w:sz="4" w:space="0" w:color="auto"/>
            </w:tcBorders>
            <w:vAlign w:val="center"/>
          </w:tcPr>
          <w:p w:rsidR="008D6AA0" w:rsidRPr="002F46FA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2F46F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女职工和未成年工特殊保护条例条款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Cs w:val="21"/>
                <w:lang w:eastAsia="zh-CN"/>
              </w:rPr>
            </w:pPr>
            <w:r w:rsidRPr="008C4837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lastRenderedPageBreak/>
              <w:t>教学难点：</w:t>
            </w:r>
            <w:r w:rsidRPr="002F46F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女职工和未成年工工作环境、待遇</w:t>
            </w:r>
          </w:p>
        </w:tc>
        <w:tc>
          <w:tcPr>
            <w:tcW w:w="1115" w:type="dxa"/>
            <w:gridSpan w:val="2"/>
            <w:tcBorders>
              <w:bottom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社会保险和福利争议处理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651C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社会保险和福利种类、争议处理流程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651C4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社保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争议处理的适用性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案例分析</w:t>
            </w: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B90FAB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劳动监督争议处理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2F17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劳动监察规定、流程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2F178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劳动监督的方式方法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="007774A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劳动争议处理工作方法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Default="008D6AA0" w:rsidP="00205C8C">
            <w:pPr>
              <w:snapToGrid w:val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劳动争议处理机制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，劳动争议仲裁的流程</w:t>
            </w:r>
          </w:p>
          <w:p w:rsidR="008D6AA0" w:rsidRPr="00F62BA9" w:rsidRDefault="008D6AA0" w:rsidP="00205C8C">
            <w:pPr>
              <w:snapToGrid w:val="0"/>
              <w:spacing w:after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劳动争议处理的适用性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205C8C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7774A0" w:rsidP="00836C3F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  <w:r w:rsidR="008D6AA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836C3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劳动争议调解、仲裁和诉讼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处理程序实务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36C3F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snapToGrid w:val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教学重点：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掌握我国劳动争议调解的法律规定，学会利用调解、仲裁和诉讼程序处理劳动争议，提高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学生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从事企业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</w:t>
            </w:r>
            <w:r w:rsidRPr="00F65F2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管理工作的能力</w:t>
            </w:r>
            <w:r w:rsidRPr="00F62BA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8D6AA0" w:rsidRPr="00F62BA9" w:rsidRDefault="008D6AA0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2BA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编写调解、仲裁和诉讼的相关法律文书。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Default="008D6AA0" w:rsidP="00205C8C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  <w:p w:rsidR="008D6AA0" w:rsidRPr="00F62BA9" w:rsidRDefault="008D6AA0" w:rsidP="00205C8C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6270F2" w:rsidRDefault="008D6AA0" w:rsidP="00205C8C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F62BA9" w:rsidRDefault="008D6AA0" w:rsidP="00205C8C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0" w:rsidRPr="005B72E7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复习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5B72E7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0" w:rsidRPr="005B72E7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对所学内容进行梳理、复习、答疑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0" w:rsidRPr="005B72E7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  <w:r w:rsidRPr="005B72E7">
              <w:rPr>
                <w:rFonts w:ascii="宋体" w:eastAsia="宋体" w:hAnsi="宋体" w:hint="eastAsia"/>
                <w:kern w:val="2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0" w:rsidRPr="005B72E7" w:rsidRDefault="008D6AA0" w:rsidP="00205C8C">
            <w:pPr>
              <w:snapToGrid w:val="0"/>
              <w:spacing w:after="0" w:line="360" w:lineRule="exact"/>
              <w:rPr>
                <w:rFonts w:ascii="宋体" w:eastAsia="宋体" w:hAnsi="宋体"/>
                <w:kern w:val="2"/>
                <w:sz w:val="21"/>
                <w:szCs w:val="21"/>
                <w:lang w:eastAsia="zh-CN"/>
              </w:rPr>
            </w:pP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2424" w:type="dxa"/>
            <w:gridSpan w:val="3"/>
            <w:tcBorders>
              <w:top w:val="single" w:sz="4" w:space="0" w:color="auto"/>
            </w:tcBorders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15" w:type="dxa"/>
            <w:tcBorders>
              <w:top w:val="single" w:sz="4" w:space="0" w:color="auto"/>
            </w:tcBorders>
            <w:vAlign w:val="center"/>
          </w:tcPr>
          <w:p w:rsidR="008D6AA0" w:rsidRPr="002E27E1" w:rsidRDefault="00836C3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8D6AA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</w:tcBorders>
            <w:vAlign w:val="center"/>
          </w:tcPr>
          <w:p w:rsidR="008D6AA0" w:rsidRPr="002E27E1" w:rsidRDefault="008D6AA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</w:tcBorders>
            <w:vAlign w:val="center"/>
          </w:tcPr>
          <w:p w:rsidR="008D6AA0" w:rsidRPr="002E27E1" w:rsidRDefault="008D6AA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:rsidR="008D6AA0" w:rsidRPr="002E27E1" w:rsidRDefault="008D6AA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8D6AA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8D6AA0" w:rsidRPr="002E27E1" w:rsidRDefault="008D6AA0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实践教学进程表</w:t>
            </w:r>
          </w:p>
        </w:tc>
      </w:tr>
      <w:tr w:rsidR="008D6AA0" w:rsidRPr="002E27E1" w:rsidTr="00505E71">
        <w:trPr>
          <w:trHeight w:val="340"/>
          <w:jc w:val="center"/>
        </w:trPr>
        <w:tc>
          <w:tcPr>
            <w:tcW w:w="741" w:type="dxa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683" w:type="dxa"/>
            <w:gridSpan w:val="2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615" w:type="dxa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3119" w:type="dxa"/>
            <w:gridSpan w:val="2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1053" w:type="dxa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2190" w:type="dxa"/>
            <w:gridSpan w:val="3"/>
            <w:tcMar>
              <w:left w:w="28" w:type="dxa"/>
              <w:right w:w="28" w:type="dxa"/>
            </w:tcMar>
            <w:vAlign w:val="center"/>
          </w:tcPr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</w:t>
            </w:r>
            <w:proofErr w:type="spellEnd"/>
          </w:p>
          <w:p w:rsidR="008D6AA0" w:rsidRPr="002E27E1" w:rsidRDefault="008D6AA0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方式</w:t>
            </w:r>
            <w:proofErr w:type="spellEnd"/>
          </w:p>
        </w:tc>
      </w:tr>
      <w:tr w:rsidR="00836C3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836C3F" w:rsidRPr="00F62BA9" w:rsidRDefault="00836C3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3-4</w:t>
            </w:r>
          </w:p>
        </w:tc>
        <w:tc>
          <w:tcPr>
            <w:tcW w:w="1683" w:type="dxa"/>
            <w:gridSpan w:val="2"/>
            <w:vAlign w:val="center"/>
          </w:tcPr>
          <w:p w:rsidR="00836C3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拟定一份</w:t>
            </w:r>
            <w:r w:rsidR="00836C3F"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劳动合同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、劳动合同争议处理分析</w:t>
            </w:r>
          </w:p>
        </w:tc>
        <w:tc>
          <w:tcPr>
            <w:tcW w:w="615" w:type="dxa"/>
            <w:vAlign w:val="center"/>
          </w:tcPr>
          <w:p w:rsidR="00836C3F" w:rsidRPr="00F62BA9" w:rsidRDefault="00836C3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836C3F" w:rsidRPr="00AD59DD" w:rsidRDefault="005E581F" w:rsidP="00B757B8">
            <w:pPr>
              <w:spacing w:after="0" w:line="0" w:lineRule="atLeas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学会拟定劳动合同以及对劳动合同引起的争议进行处理</w:t>
            </w:r>
          </w:p>
        </w:tc>
        <w:tc>
          <w:tcPr>
            <w:tcW w:w="1053" w:type="dxa"/>
            <w:vAlign w:val="center"/>
          </w:tcPr>
          <w:p w:rsidR="00836C3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综合、设计</w:t>
            </w:r>
          </w:p>
        </w:tc>
        <w:tc>
          <w:tcPr>
            <w:tcW w:w="2190" w:type="dxa"/>
            <w:gridSpan w:val="3"/>
            <w:vAlign w:val="center"/>
          </w:tcPr>
          <w:p w:rsidR="00836C3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实训、案例分析</w:t>
            </w:r>
          </w:p>
        </w:tc>
      </w:tr>
      <w:tr w:rsidR="00836C3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836C3F" w:rsidRPr="00F62BA9" w:rsidRDefault="00836C3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5-6</w:t>
            </w:r>
          </w:p>
        </w:tc>
        <w:tc>
          <w:tcPr>
            <w:tcW w:w="1683" w:type="dxa"/>
            <w:gridSpan w:val="2"/>
            <w:vAlign w:val="center"/>
          </w:tcPr>
          <w:p w:rsidR="00836C3F" w:rsidRPr="00F62BA9" w:rsidRDefault="00703793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计算加班工资及年休假工资</w:t>
            </w:r>
          </w:p>
        </w:tc>
        <w:tc>
          <w:tcPr>
            <w:tcW w:w="615" w:type="dxa"/>
            <w:vAlign w:val="center"/>
          </w:tcPr>
          <w:p w:rsidR="00836C3F" w:rsidRPr="00F62BA9" w:rsidRDefault="00836C3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836C3F" w:rsidRPr="00AD59DD" w:rsidRDefault="00703793" w:rsidP="00B757B8">
            <w:pPr>
              <w:spacing w:after="0" w:line="0" w:lineRule="atLeas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掌握各种工时工作制</w:t>
            </w:r>
            <w:r w:rsidRPr="008327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加班加点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工资</w:t>
            </w:r>
            <w:r w:rsidRPr="008327B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的核算和应休未休年休假的工资核算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，避免争议发生</w:t>
            </w:r>
          </w:p>
        </w:tc>
        <w:tc>
          <w:tcPr>
            <w:tcW w:w="1053" w:type="dxa"/>
            <w:vAlign w:val="center"/>
          </w:tcPr>
          <w:p w:rsidR="00836C3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836C3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实训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工资争议处理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</w:t>
            </w:r>
          </w:p>
        </w:tc>
        <w:tc>
          <w:tcPr>
            <w:tcW w:w="615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AD59DD" w:rsidRDefault="005E581F" w:rsidP="005E581F">
            <w:pPr>
              <w:spacing w:after="0" w:line="0" w:lineRule="atLeas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掌握工资</w:t>
            </w: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分析要点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C27216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C27216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小组讨论（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案例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分析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、实践运用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83" w:type="dxa"/>
            <w:gridSpan w:val="2"/>
            <w:vAlign w:val="center"/>
          </w:tcPr>
          <w:p w:rsidR="005E581F" w:rsidRDefault="005E581F" w:rsidP="00703793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70E9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拟定培训服务协议</w:t>
            </w:r>
          </w:p>
        </w:tc>
        <w:tc>
          <w:tcPr>
            <w:tcW w:w="615" w:type="dxa"/>
            <w:vAlign w:val="center"/>
          </w:tcPr>
          <w:p w:rsidR="005E581F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AD59DD" w:rsidRDefault="005E581F" w:rsidP="00B757B8">
            <w:pPr>
              <w:spacing w:after="0" w:line="0" w:lineRule="atLeas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掌握培训服务</w:t>
            </w:r>
            <w:proofErr w:type="gramStart"/>
            <w:r>
              <w:rPr>
                <w:rFonts w:eastAsiaTheme="minorEastAsia" w:hint="eastAsia"/>
                <w:sz w:val="21"/>
                <w:szCs w:val="21"/>
                <w:lang w:eastAsia="zh-CN"/>
              </w:rPr>
              <w:t>期相关</w:t>
            </w:r>
            <w:proofErr w:type="gramEnd"/>
            <w:r>
              <w:rPr>
                <w:rFonts w:eastAsiaTheme="minorEastAsia" w:hint="eastAsia"/>
                <w:sz w:val="21"/>
                <w:szCs w:val="21"/>
                <w:lang w:eastAsia="zh-CN"/>
              </w:rPr>
              <w:t>规定，学会拟定培训服务期协议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设计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实训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女职工和未成年工特殊保护争议处理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</w:t>
            </w:r>
          </w:p>
        </w:tc>
        <w:tc>
          <w:tcPr>
            <w:tcW w:w="615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AD59DD" w:rsidRDefault="005E581F" w:rsidP="00B757B8">
            <w:pPr>
              <w:spacing w:after="0" w:line="0" w:lineRule="atLeas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女</w:t>
            </w:r>
            <w:proofErr w:type="gramEnd"/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职工和未成年工特殊保护争议处理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分析要点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C27216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C27216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小组讨论（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案例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分析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、实践运用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社会保险和福利争议处理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</w:t>
            </w:r>
          </w:p>
        </w:tc>
        <w:tc>
          <w:tcPr>
            <w:tcW w:w="615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2E27E1" w:rsidRDefault="005E581F" w:rsidP="00B757B8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</w:t>
            </w: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社会保险和福利争议处理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分析要点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小组讨论（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案例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分析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、实践运用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11-12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9E74B9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30C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劳动争议处理工作方法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分析</w:t>
            </w:r>
          </w:p>
        </w:tc>
        <w:tc>
          <w:tcPr>
            <w:tcW w:w="615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2E27E1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掌握不同劳动争议的处理方法及流程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小组讨论（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案例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分析</w:t>
            </w:r>
            <w:r w:rsidRPr="00AD59DD">
              <w:rPr>
                <w:rFonts w:eastAsiaTheme="minorEastAsia"/>
                <w:sz w:val="21"/>
                <w:szCs w:val="21"/>
                <w:lang w:eastAsia="zh-CN"/>
              </w:rPr>
              <w:t>、实践运用</w:t>
            </w:r>
            <w:r w:rsidRPr="00AD59DD">
              <w:rPr>
                <w:rFonts w:eastAsiaTheme="minorEastAsia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13-15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编写调解、仲裁和诉讼的相关法律文书</w:t>
            </w:r>
          </w:p>
        </w:tc>
        <w:tc>
          <w:tcPr>
            <w:tcW w:w="615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5E581F" w:rsidRDefault="005E581F" w:rsidP="00836C3F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掌握调解、仲裁和诉讼的相关法律文书的编写方法。</w:t>
            </w:r>
          </w:p>
        </w:tc>
        <w:tc>
          <w:tcPr>
            <w:tcW w:w="1053" w:type="dxa"/>
            <w:vAlign w:val="center"/>
          </w:tcPr>
          <w:p w:rsidR="005E581F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设计</w:t>
            </w:r>
          </w:p>
        </w:tc>
        <w:tc>
          <w:tcPr>
            <w:tcW w:w="2190" w:type="dxa"/>
            <w:gridSpan w:val="3"/>
            <w:vAlign w:val="center"/>
          </w:tcPr>
          <w:p w:rsidR="005E581F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实训</w:t>
            </w:r>
          </w:p>
        </w:tc>
      </w:tr>
      <w:tr w:rsidR="005E581F" w:rsidRPr="002E27E1" w:rsidTr="008C6C47">
        <w:trPr>
          <w:trHeight w:val="340"/>
          <w:jc w:val="center"/>
        </w:trPr>
        <w:tc>
          <w:tcPr>
            <w:tcW w:w="741" w:type="dxa"/>
            <w:vAlign w:val="center"/>
          </w:tcPr>
          <w:p w:rsidR="005E581F" w:rsidRPr="00F62BA9" w:rsidRDefault="005E581F" w:rsidP="00C27216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16-17</w:t>
            </w:r>
          </w:p>
        </w:tc>
        <w:tc>
          <w:tcPr>
            <w:tcW w:w="1683" w:type="dxa"/>
            <w:gridSpan w:val="2"/>
            <w:vAlign w:val="center"/>
          </w:tcPr>
          <w:p w:rsidR="005E581F" w:rsidRPr="00F62BA9" w:rsidRDefault="005E581F" w:rsidP="00C27216">
            <w:pPr>
              <w:snapToGrid w:val="0"/>
              <w:spacing w:after="0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以小组为形式，自编自演一个劳动争议案件</w:t>
            </w:r>
          </w:p>
        </w:tc>
        <w:tc>
          <w:tcPr>
            <w:tcW w:w="615" w:type="dxa"/>
            <w:vAlign w:val="center"/>
          </w:tcPr>
          <w:p w:rsidR="005E581F" w:rsidRPr="002E27E1" w:rsidRDefault="005E581F" w:rsidP="00F86CC2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2E27E1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掌握企业、员工、HR、劳动仲裁委员会工作人员等不同角色对劳动争议案件的处理</w:t>
            </w:r>
          </w:p>
        </w:tc>
        <w:tc>
          <w:tcPr>
            <w:tcW w:w="1053" w:type="dxa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2190" w:type="dxa"/>
            <w:gridSpan w:val="3"/>
            <w:vAlign w:val="center"/>
          </w:tcPr>
          <w:p w:rsidR="005E581F" w:rsidRPr="00AD59DD" w:rsidRDefault="005E581F" w:rsidP="00205C8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实训</w:t>
            </w:r>
          </w:p>
        </w:tc>
      </w:tr>
      <w:tr w:rsidR="005E581F" w:rsidRPr="002E27E1" w:rsidTr="00505E71">
        <w:trPr>
          <w:trHeight w:val="340"/>
          <w:jc w:val="center"/>
        </w:trPr>
        <w:tc>
          <w:tcPr>
            <w:tcW w:w="2424" w:type="dxa"/>
            <w:gridSpan w:val="3"/>
            <w:vAlign w:val="center"/>
          </w:tcPr>
          <w:p w:rsidR="005E581F" w:rsidRPr="002E27E1" w:rsidRDefault="005E581F" w:rsidP="00061F27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sz w:val="21"/>
                <w:szCs w:val="21"/>
              </w:rPr>
              <w:t>：</w:t>
            </w:r>
          </w:p>
        </w:tc>
        <w:tc>
          <w:tcPr>
            <w:tcW w:w="615" w:type="dxa"/>
            <w:vAlign w:val="center"/>
          </w:tcPr>
          <w:p w:rsidR="005E581F" w:rsidRPr="002E27E1" w:rsidRDefault="005E581F" w:rsidP="00F86CC2">
            <w:pPr>
              <w:spacing w:after="0" w:line="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3119" w:type="dxa"/>
            <w:gridSpan w:val="2"/>
            <w:vAlign w:val="center"/>
          </w:tcPr>
          <w:p w:rsidR="005E581F" w:rsidRPr="002E27E1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3" w:type="dxa"/>
            <w:vAlign w:val="center"/>
          </w:tcPr>
          <w:p w:rsidR="005E581F" w:rsidRPr="002E27E1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90" w:type="dxa"/>
            <w:gridSpan w:val="3"/>
            <w:vAlign w:val="center"/>
          </w:tcPr>
          <w:p w:rsidR="005E581F" w:rsidRPr="002E27E1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E581F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5E581F" w:rsidRPr="002E27E1" w:rsidRDefault="005E581F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5E581F" w:rsidRPr="002E27E1" w:rsidTr="00505E71">
        <w:trPr>
          <w:trHeight w:val="340"/>
          <w:jc w:val="center"/>
        </w:trPr>
        <w:tc>
          <w:tcPr>
            <w:tcW w:w="206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681" w:type="dxa"/>
            <w:gridSpan w:val="6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65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5E581F" w:rsidRPr="002E27E1" w:rsidTr="00205C8C">
        <w:trPr>
          <w:trHeight w:val="340"/>
          <w:jc w:val="center"/>
        </w:trPr>
        <w:tc>
          <w:tcPr>
            <w:tcW w:w="2065" w:type="dxa"/>
            <w:gridSpan w:val="2"/>
          </w:tcPr>
          <w:p w:rsidR="005E581F" w:rsidRPr="00891DAE" w:rsidRDefault="00E1391C" w:rsidP="00B757B8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平时表现</w:t>
            </w:r>
          </w:p>
        </w:tc>
        <w:tc>
          <w:tcPr>
            <w:tcW w:w="5681" w:type="dxa"/>
            <w:gridSpan w:val="6"/>
          </w:tcPr>
          <w:p w:rsidR="005E581F" w:rsidRPr="00891DAE" w:rsidRDefault="00E1391C" w:rsidP="00B757B8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包括考勤和课堂表现。期中考勤要求为：</w:t>
            </w:r>
            <w:r w:rsidRPr="00891DA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不得无故缺席（旷课3次及以上将取消考试资格）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。课堂表现要求为：</w:t>
            </w:r>
            <w:r w:rsidRPr="008E12C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上课积极参与讨论、认真完成作业</w:t>
            </w:r>
          </w:p>
        </w:tc>
        <w:tc>
          <w:tcPr>
            <w:tcW w:w="1655" w:type="dxa"/>
            <w:gridSpan w:val="2"/>
          </w:tcPr>
          <w:p w:rsidR="005E581F" w:rsidRPr="00891DAE" w:rsidRDefault="00D55379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5E581F" w:rsidRPr="00891DA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0%</w:t>
            </w:r>
          </w:p>
        </w:tc>
      </w:tr>
      <w:tr w:rsidR="005E581F" w:rsidRPr="002E27E1" w:rsidTr="00205C8C">
        <w:trPr>
          <w:trHeight w:val="340"/>
          <w:jc w:val="center"/>
        </w:trPr>
        <w:tc>
          <w:tcPr>
            <w:tcW w:w="2065" w:type="dxa"/>
            <w:gridSpan w:val="2"/>
          </w:tcPr>
          <w:p w:rsidR="005E581F" w:rsidRPr="00D55379" w:rsidRDefault="005E581F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537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5681" w:type="dxa"/>
            <w:gridSpan w:val="6"/>
          </w:tcPr>
          <w:p w:rsidR="005E581F" w:rsidRPr="00D55379" w:rsidRDefault="00E1391C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以3</w:t>
            </w:r>
            <w:r w:rsidR="00D55379" w:rsidRPr="00D55379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5</w:t>
            </w:r>
            <w:r w:rsidR="00D55379" w:rsidRPr="00D5537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人为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一小组</w:t>
            </w:r>
            <w:r w:rsidR="00D55379" w:rsidRPr="00D5537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提交一份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8</w:t>
            </w:r>
            <w:r w:rsidR="00D55379" w:rsidRPr="00D55379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000</w:t>
            </w:r>
            <w:r w:rsidR="00D55379" w:rsidRPr="00D5537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字以上的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课程</w:t>
            </w:r>
            <w:bookmarkStart w:id="0" w:name="_GoBack"/>
            <w:bookmarkEnd w:id="0"/>
            <w:r w:rsidR="00D55379" w:rsidRPr="00D55379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论文。</w:t>
            </w:r>
          </w:p>
        </w:tc>
        <w:tc>
          <w:tcPr>
            <w:tcW w:w="1655" w:type="dxa"/>
            <w:gridSpan w:val="2"/>
          </w:tcPr>
          <w:p w:rsidR="005E581F" w:rsidRPr="00891DAE" w:rsidRDefault="00E1391C" w:rsidP="00205C8C">
            <w:pPr>
              <w:snapToGrid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8</w:t>
            </w:r>
            <w:r w:rsidR="005E581F" w:rsidRPr="00891DA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0%</w:t>
            </w:r>
          </w:p>
        </w:tc>
      </w:tr>
      <w:tr w:rsidR="005E581F" w:rsidRPr="002E27E1" w:rsidTr="00505E71">
        <w:trPr>
          <w:trHeight w:val="340"/>
          <w:jc w:val="center"/>
        </w:trPr>
        <w:tc>
          <w:tcPr>
            <w:tcW w:w="206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681" w:type="dxa"/>
            <w:gridSpan w:val="6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E581F" w:rsidRPr="002E27E1" w:rsidTr="00505E71">
        <w:trPr>
          <w:trHeight w:val="340"/>
          <w:jc w:val="center"/>
        </w:trPr>
        <w:tc>
          <w:tcPr>
            <w:tcW w:w="206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681" w:type="dxa"/>
            <w:gridSpan w:val="6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5E581F" w:rsidRPr="002E27E1" w:rsidRDefault="005E581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E581F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5E581F" w:rsidRPr="00735FDE" w:rsidRDefault="005E581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2018年9月6日</w:t>
            </w:r>
          </w:p>
        </w:tc>
      </w:tr>
      <w:tr w:rsidR="005E581F" w:rsidRPr="002E27E1" w:rsidTr="00B757B8">
        <w:trPr>
          <w:trHeight w:val="2099"/>
          <w:jc w:val="center"/>
        </w:trPr>
        <w:tc>
          <w:tcPr>
            <w:tcW w:w="9401" w:type="dxa"/>
            <w:gridSpan w:val="10"/>
          </w:tcPr>
          <w:p w:rsidR="005E581F" w:rsidRPr="002E27E1" w:rsidRDefault="005E581F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5E581F" w:rsidRDefault="005E581F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5E581F" w:rsidRPr="002E27E1" w:rsidRDefault="005E581F" w:rsidP="00061F27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5E581F" w:rsidRDefault="005E581F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5E581F" w:rsidRDefault="005E581F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5E581F" w:rsidRPr="002E27E1" w:rsidRDefault="005E581F" w:rsidP="00061F27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5E581F" w:rsidRPr="002E27E1" w:rsidRDefault="005E581F" w:rsidP="00061F27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5E581F" w:rsidRPr="002E27E1" w:rsidRDefault="005E581F" w:rsidP="00061F27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B05FEC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 w:rsidR="00785779"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</w:t>
      </w:r>
      <w:proofErr w:type="gramEnd"/>
      <w:r w:rsidR="00785779"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741" w:rsidRDefault="00A54741" w:rsidP="00896971">
      <w:pPr>
        <w:spacing w:after="0"/>
      </w:pPr>
      <w:r>
        <w:separator/>
      </w:r>
    </w:p>
  </w:endnote>
  <w:endnote w:type="continuationSeparator" w:id="0">
    <w:p w:rsidR="00A54741" w:rsidRDefault="00A54741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微软雅黑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741" w:rsidRDefault="00A54741" w:rsidP="00896971">
      <w:pPr>
        <w:spacing w:after="0"/>
      </w:pPr>
      <w:r>
        <w:separator/>
      </w:r>
    </w:p>
  </w:footnote>
  <w:footnote w:type="continuationSeparator" w:id="0">
    <w:p w:rsidR="00A54741" w:rsidRDefault="00A54741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C76B9"/>
    <w:multiLevelType w:val="hybridMultilevel"/>
    <w:tmpl w:val="EB5E27EE"/>
    <w:lvl w:ilvl="0" w:tplc="2A80B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5C8D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AE64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E8C0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0E27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ED66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5E8A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B280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3BEB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 w15:restartNumberingAfterBreak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3" w15:restartNumberingAfterBreak="0">
    <w:nsid w:val="378406D6"/>
    <w:multiLevelType w:val="hybridMultilevel"/>
    <w:tmpl w:val="F5E02F16"/>
    <w:lvl w:ilvl="0" w:tplc="CBE0C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FE63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BF48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FDEB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64A1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74A2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D05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620F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AEA6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 w15:restartNumberingAfterBreak="0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C23799B"/>
    <w:rsid w:val="000041EE"/>
    <w:rsid w:val="00061F27"/>
    <w:rsid w:val="0006698D"/>
    <w:rsid w:val="00087B74"/>
    <w:rsid w:val="000B626E"/>
    <w:rsid w:val="000B656C"/>
    <w:rsid w:val="000C2D4A"/>
    <w:rsid w:val="000E0AE8"/>
    <w:rsid w:val="00155E5A"/>
    <w:rsid w:val="00171228"/>
    <w:rsid w:val="001B31E9"/>
    <w:rsid w:val="001D28E8"/>
    <w:rsid w:val="001F20BC"/>
    <w:rsid w:val="00205C8C"/>
    <w:rsid w:val="002111AE"/>
    <w:rsid w:val="00227119"/>
    <w:rsid w:val="00284D42"/>
    <w:rsid w:val="002D3F2C"/>
    <w:rsid w:val="002E27E1"/>
    <w:rsid w:val="003044FA"/>
    <w:rsid w:val="0037561C"/>
    <w:rsid w:val="003B3305"/>
    <w:rsid w:val="003C66D8"/>
    <w:rsid w:val="003E66A6"/>
    <w:rsid w:val="00414FC8"/>
    <w:rsid w:val="00453CE3"/>
    <w:rsid w:val="00457E42"/>
    <w:rsid w:val="004A1341"/>
    <w:rsid w:val="004B3994"/>
    <w:rsid w:val="004D29DE"/>
    <w:rsid w:val="004E0481"/>
    <w:rsid w:val="004E7804"/>
    <w:rsid w:val="00505E71"/>
    <w:rsid w:val="00531B10"/>
    <w:rsid w:val="005639AB"/>
    <w:rsid w:val="005911D3"/>
    <w:rsid w:val="005E581F"/>
    <w:rsid w:val="005F174F"/>
    <w:rsid w:val="00600BD2"/>
    <w:rsid w:val="00624E0B"/>
    <w:rsid w:val="0062794A"/>
    <w:rsid w:val="0063410F"/>
    <w:rsid w:val="0065651C"/>
    <w:rsid w:val="00703793"/>
    <w:rsid w:val="00735FDE"/>
    <w:rsid w:val="00770F0D"/>
    <w:rsid w:val="00776AF2"/>
    <w:rsid w:val="007774A0"/>
    <w:rsid w:val="00785779"/>
    <w:rsid w:val="007A154B"/>
    <w:rsid w:val="008147FF"/>
    <w:rsid w:val="00815F78"/>
    <w:rsid w:val="00836C3F"/>
    <w:rsid w:val="008512DF"/>
    <w:rsid w:val="00855020"/>
    <w:rsid w:val="00885EED"/>
    <w:rsid w:val="00892ADC"/>
    <w:rsid w:val="00896971"/>
    <w:rsid w:val="008D6AA0"/>
    <w:rsid w:val="008F6642"/>
    <w:rsid w:val="00917C66"/>
    <w:rsid w:val="009349EE"/>
    <w:rsid w:val="00970A82"/>
    <w:rsid w:val="009A2B5C"/>
    <w:rsid w:val="009B3EAE"/>
    <w:rsid w:val="009C3354"/>
    <w:rsid w:val="009D3079"/>
    <w:rsid w:val="009E1804"/>
    <w:rsid w:val="00A54741"/>
    <w:rsid w:val="00A84D68"/>
    <w:rsid w:val="00A85774"/>
    <w:rsid w:val="00AA199F"/>
    <w:rsid w:val="00AB00C2"/>
    <w:rsid w:val="00AB64D0"/>
    <w:rsid w:val="00AC3ABD"/>
    <w:rsid w:val="00AE48DD"/>
    <w:rsid w:val="00B05FEC"/>
    <w:rsid w:val="00B31C31"/>
    <w:rsid w:val="00B757B8"/>
    <w:rsid w:val="00B92139"/>
    <w:rsid w:val="00BB35F5"/>
    <w:rsid w:val="00C41D05"/>
    <w:rsid w:val="00C479CB"/>
    <w:rsid w:val="00C705DD"/>
    <w:rsid w:val="00C76FA2"/>
    <w:rsid w:val="00CA1AB8"/>
    <w:rsid w:val="00CC4A46"/>
    <w:rsid w:val="00CD2F8F"/>
    <w:rsid w:val="00D45246"/>
    <w:rsid w:val="00D55379"/>
    <w:rsid w:val="00D62B41"/>
    <w:rsid w:val="00DB45CF"/>
    <w:rsid w:val="00DB5724"/>
    <w:rsid w:val="00DC31CF"/>
    <w:rsid w:val="00DC7F02"/>
    <w:rsid w:val="00DF5C03"/>
    <w:rsid w:val="00E0505F"/>
    <w:rsid w:val="00E1391C"/>
    <w:rsid w:val="00E413E8"/>
    <w:rsid w:val="00E45C0D"/>
    <w:rsid w:val="00E53E23"/>
    <w:rsid w:val="00EC2295"/>
    <w:rsid w:val="00ED3FCA"/>
    <w:rsid w:val="00F31667"/>
    <w:rsid w:val="00F617C2"/>
    <w:rsid w:val="00F86CC2"/>
    <w:rsid w:val="00F948E4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CD4390"/>
  <w15:docId w15:val="{6683F3CE-86A2-4324-B00C-4531F271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a5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6">
    <w:name w:val="footer"/>
    <w:basedOn w:val="a"/>
    <w:link w:val="a7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96971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9">
    <w:name w:val="Balloon Text"/>
    <w:basedOn w:val="a"/>
    <w:link w:val="aa"/>
    <w:rsid w:val="003044F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27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06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6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867A75-111D-4576-8C36-028D5CFD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517</Words>
  <Characters>2949</Characters>
  <Application>Microsoft Office Word</Application>
  <DocSecurity>0</DocSecurity>
  <Lines>24</Lines>
  <Paragraphs>6</Paragraphs>
  <ScaleCrop>false</ScaleCrop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myfang</cp:lastModifiedBy>
  <cp:revision>8</cp:revision>
  <cp:lastPrinted>2017-01-05T16:24:00Z</cp:lastPrinted>
  <dcterms:created xsi:type="dcterms:W3CDTF">2018-09-06T08:23:00Z</dcterms:created>
  <dcterms:modified xsi:type="dcterms:W3CDTF">2019-01-17T03:08:00Z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